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98" w:rsidRPr="00711BF6" w:rsidRDefault="002A08F0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711BF6">
        <w:rPr>
          <w:rFonts w:ascii="华文中宋" w:eastAsia="华文中宋" w:hAnsi="华文中宋" w:hint="eastAsia"/>
          <w:b/>
          <w:sz w:val="44"/>
          <w:szCs w:val="44"/>
        </w:rPr>
        <w:t>关于2020-2021学年第二学期</w:t>
      </w:r>
    </w:p>
    <w:p w:rsidR="00BC5D98" w:rsidRPr="00711BF6" w:rsidRDefault="002A08F0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711BF6">
        <w:rPr>
          <w:rFonts w:ascii="华文中宋" w:eastAsia="华文中宋" w:hAnsi="华文中宋" w:hint="eastAsia"/>
          <w:b/>
          <w:sz w:val="44"/>
          <w:szCs w:val="44"/>
        </w:rPr>
        <w:t>党员组织生活安排的指导意见</w:t>
      </w:r>
    </w:p>
    <w:p w:rsidR="00BC5D98" w:rsidRPr="00711BF6" w:rsidRDefault="00BC5D9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646FCC" w:rsidRPr="00711BF6" w:rsidRDefault="00646FCC" w:rsidP="00646FCC">
      <w:pPr>
        <w:tabs>
          <w:tab w:val="left" w:pos="6946"/>
        </w:tabs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2021 年是中国共产党成立 100 周年，是“十四五”规划开局之年，也是全面建成小康社会、开启全面建设社会主义现代化国家新征程的关键之年。为进</w:t>
      </w:r>
      <w:bookmarkStart w:id="0" w:name="_GoBack"/>
      <w:bookmarkEnd w:id="0"/>
      <w:r w:rsidRPr="00711BF6">
        <w:rPr>
          <w:rFonts w:ascii="仿宋_GB2312" w:eastAsia="仿宋_GB2312" w:hAnsi="仿宋" w:cs="仿宋" w:hint="eastAsia"/>
          <w:sz w:val="30"/>
          <w:szCs w:val="30"/>
        </w:rPr>
        <w:t>一步深化党组织和党员队伍建设，提高组织生活质量，现就 2020-2021 学年第二学期党组织生活提出如下指导意见。</w:t>
      </w:r>
    </w:p>
    <w:p w:rsidR="00BC5D98" w:rsidRPr="00711BF6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bCs/>
          <w:sz w:val="30"/>
          <w:szCs w:val="30"/>
        </w:rPr>
        <w:t>一、总体要求</w:t>
      </w:r>
    </w:p>
    <w:p w:rsidR="00BC5D98" w:rsidRPr="00711BF6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以习近平新时代中国特色社会主义思想为指导，全面贯彻党的十九大和十九届</w:t>
      </w:r>
      <w:r w:rsidR="00D8534A" w:rsidRPr="00711BF6">
        <w:rPr>
          <w:rFonts w:ascii="仿宋_GB2312" w:eastAsia="仿宋_GB2312" w:hAnsi="仿宋" w:cs="仿宋" w:hint="eastAsia"/>
          <w:sz w:val="30"/>
          <w:szCs w:val="30"/>
        </w:rPr>
        <w:t>二中、三中、四中、</w:t>
      </w:r>
      <w:r w:rsidR="00646FCC" w:rsidRPr="00711BF6">
        <w:rPr>
          <w:rFonts w:ascii="仿宋_GB2312" w:eastAsia="仿宋_GB2312" w:hAnsi="仿宋" w:cs="仿宋" w:hint="eastAsia"/>
          <w:sz w:val="30"/>
          <w:szCs w:val="30"/>
        </w:rPr>
        <w:t>五中</w:t>
      </w:r>
      <w:r w:rsidRPr="00711BF6">
        <w:rPr>
          <w:rFonts w:ascii="仿宋_GB2312" w:eastAsia="仿宋_GB2312" w:hAnsi="仿宋" w:cs="仿宋" w:hint="eastAsia"/>
          <w:sz w:val="30"/>
          <w:szCs w:val="30"/>
        </w:rPr>
        <w:t>全会精神，深入学习党章和党内法规制度，贯彻落</w:t>
      </w:r>
      <w:proofErr w:type="gramStart"/>
      <w:r w:rsidRPr="00711BF6">
        <w:rPr>
          <w:rFonts w:ascii="仿宋_GB2312" w:eastAsia="仿宋_GB2312" w:hAnsi="仿宋" w:cs="仿宋" w:hint="eastAsia"/>
          <w:sz w:val="30"/>
          <w:szCs w:val="30"/>
        </w:rPr>
        <w:t>实习近</w:t>
      </w:r>
      <w:proofErr w:type="gramEnd"/>
      <w:r w:rsidRPr="00711BF6">
        <w:rPr>
          <w:rFonts w:ascii="仿宋_GB2312" w:eastAsia="仿宋_GB2312" w:hAnsi="仿宋" w:cs="仿宋" w:hint="eastAsia"/>
          <w:sz w:val="30"/>
          <w:szCs w:val="30"/>
        </w:rPr>
        <w:t>平总书记关于教育的重要论述，增强“四个意识”、坚定“四个自信”，做到“两个维护”，结合把握新发展阶段、贯彻新发展理念、构建新发展格局、推动高质量发展，深入贯彻落实新时代党的建设总要求和新时代党的组织路线，以党史学习教育为主线，围绕落实立德树人根本任务，巩固深化“不忘初心、牢记使命”主题教育和“四史”学习教育成果，创新方式方法，增强组织生活活力，进一步突出党内政治生活的政治性、时代性、原则性、战斗性，</w:t>
      </w:r>
      <w:r w:rsidR="00646FCC" w:rsidRPr="00711BF6">
        <w:rPr>
          <w:rFonts w:ascii="仿宋_GB2312" w:eastAsia="仿宋_GB2312" w:hAnsi="仿宋" w:cs="仿宋"/>
          <w:sz w:val="30"/>
          <w:szCs w:val="30"/>
        </w:rPr>
        <w:t>不断提高政治判断力、政治领悟力、政治执行力</w:t>
      </w:r>
      <w:r w:rsidR="00646FCC" w:rsidRPr="00711BF6">
        <w:rPr>
          <w:rFonts w:ascii="仿宋_GB2312" w:eastAsia="仿宋_GB2312" w:hAnsi="仿宋" w:cs="仿宋" w:hint="eastAsia"/>
          <w:sz w:val="30"/>
          <w:szCs w:val="30"/>
        </w:rPr>
        <w:t>，</w:t>
      </w:r>
      <w:r w:rsidRPr="00711BF6">
        <w:rPr>
          <w:rFonts w:ascii="仿宋_GB2312" w:eastAsia="仿宋_GB2312" w:hAnsi="仿宋" w:cs="仿宋" w:hint="eastAsia"/>
          <w:sz w:val="30"/>
          <w:szCs w:val="30"/>
        </w:rPr>
        <w:t>切实发挥基层党组织的战斗堡垒作用和党员的先锋模范作用，为学校“十四五”规划开好局、起好步，加快建设高水平地方应用型高校提供坚强的组织保证，以优异成绩庆祝建党100周年。</w:t>
      </w:r>
    </w:p>
    <w:p w:rsidR="00BC5D98" w:rsidRPr="00711BF6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bCs/>
          <w:sz w:val="30"/>
          <w:szCs w:val="30"/>
        </w:rPr>
        <w:t>二、内容安排</w:t>
      </w:r>
    </w:p>
    <w:p w:rsidR="00BC5D98" w:rsidRPr="00711BF6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sz w:val="30"/>
          <w:szCs w:val="30"/>
        </w:rPr>
        <w:lastRenderedPageBreak/>
        <w:t>（一）持续深入学习贯彻习近平新时代中国特色社会主义思想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深入开展习近平新时代中国特色社会主义思想学习，学</w:t>
      </w:r>
      <w:proofErr w:type="gramStart"/>
      <w:r w:rsidRPr="00711BF6">
        <w:rPr>
          <w:rFonts w:ascii="仿宋_GB2312" w:eastAsia="仿宋_GB2312" w:hAnsi="仿宋" w:cs="仿宋" w:hint="eastAsia"/>
          <w:sz w:val="30"/>
          <w:szCs w:val="30"/>
        </w:rPr>
        <w:t>习习近</w:t>
      </w:r>
      <w:proofErr w:type="gramEnd"/>
      <w:r w:rsidRPr="00711BF6">
        <w:rPr>
          <w:rFonts w:ascii="仿宋_GB2312" w:eastAsia="仿宋_GB2312" w:hAnsi="仿宋" w:cs="仿宋" w:hint="eastAsia"/>
          <w:sz w:val="30"/>
          <w:szCs w:val="30"/>
        </w:rPr>
        <w:t>平总书记重要讲话精神和回信精神、学习全国脱贫攻坚总结表彰大会、全国两会等上级重要会议精神、习近平总书记关于教育的重要论述、关于高校党建和思政工作的重要讲话等，准确领会习近平新时代中国特色社会主义思想的核心要义，掌握贯穿其中的立场观点方法，切实增强学习的自觉性和坚定性，不断推动习近平新时代中国特色社会主义思想学习教育往深里走、往心里走、往实里走。继续引导广大</w:t>
      </w:r>
      <w:proofErr w:type="gramStart"/>
      <w:r w:rsidRPr="00711BF6">
        <w:rPr>
          <w:rFonts w:ascii="仿宋_GB2312" w:eastAsia="仿宋_GB2312" w:hAnsi="仿宋" w:cs="仿宋" w:hint="eastAsia"/>
          <w:sz w:val="30"/>
          <w:szCs w:val="30"/>
        </w:rPr>
        <w:t>党员读</w:t>
      </w:r>
      <w:proofErr w:type="gramEnd"/>
      <w:r w:rsidRPr="00711BF6">
        <w:rPr>
          <w:rFonts w:ascii="仿宋_GB2312" w:eastAsia="仿宋_GB2312" w:hAnsi="仿宋" w:cs="仿宋" w:hint="eastAsia"/>
          <w:sz w:val="30"/>
          <w:szCs w:val="30"/>
        </w:rPr>
        <w:t>原著、学原文、悟原理，引导广大党员知行合一、学以致用，推动工作。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00" w:firstLine="602"/>
        <w:rPr>
          <w:rFonts w:ascii="仿宋_GB2312" w:eastAsia="仿宋_GB2312" w:hAnsi="仿宋" w:cs="仿宋"/>
          <w:b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sz w:val="30"/>
          <w:szCs w:val="30"/>
        </w:rPr>
        <w:t>（二）深入开展中共党史学习教育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在全党开展党史学习教育，是党的政治生活中的一件大事。各级党组织要高度重视，提高思想站位，立足实际、守正创新。深入学</w:t>
      </w:r>
      <w:proofErr w:type="gramStart"/>
      <w:r w:rsidRPr="00711BF6">
        <w:rPr>
          <w:rFonts w:ascii="仿宋_GB2312" w:eastAsia="仿宋_GB2312" w:hAnsi="仿宋" w:cs="仿宋" w:hint="eastAsia"/>
          <w:sz w:val="30"/>
          <w:szCs w:val="30"/>
        </w:rPr>
        <w:t>习习近</w:t>
      </w:r>
      <w:proofErr w:type="gramEnd"/>
      <w:r w:rsidRPr="00711BF6">
        <w:rPr>
          <w:rFonts w:ascii="仿宋_GB2312" w:eastAsia="仿宋_GB2312" w:hAnsi="仿宋" w:cs="仿宋" w:hint="eastAsia"/>
          <w:sz w:val="30"/>
          <w:szCs w:val="30"/>
        </w:rPr>
        <w:t>平总书记在全党开展党史学习教育动员大会上的重要讲话精神和《论中国共产党历史》。引导广大党员树立正确党史观，准确把握党的历史发展的主题主线、主流本质，做到学史明理、学史增信、学史崇德、学史力行，学党史、悟思想、办实事、开新局。</w:t>
      </w:r>
      <w:r w:rsidRPr="00711BF6">
        <w:rPr>
          <w:rFonts w:ascii="仿宋_GB2312" w:eastAsia="仿宋_GB2312" w:hAnsi="仿宋" w:cs="仿宋"/>
          <w:sz w:val="30"/>
          <w:szCs w:val="30"/>
        </w:rPr>
        <w:t>把开展党史学习教育作为砥砺初心使命的</w:t>
      </w:r>
      <w:r w:rsidRPr="00711BF6">
        <w:rPr>
          <w:rFonts w:ascii="仿宋_GB2312" w:eastAsia="仿宋_GB2312" w:hAnsi="仿宋" w:cs="仿宋"/>
          <w:sz w:val="30"/>
          <w:szCs w:val="30"/>
        </w:rPr>
        <w:t>“</w:t>
      </w:r>
      <w:r w:rsidRPr="00711BF6">
        <w:rPr>
          <w:rFonts w:ascii="仿宋_GB2312" w:eastAsia="仿宋_GB2312" w:hAnsi="仿宋" w:cs="仿宋"/>
          <w:sz w:val="30"/>
          <w:szCs w:val="30"/>
        </w:rPr>
        <w:t>磨刀石</w:t>
      </w:r>
      <w:r w:rsidRPr="00711BF6">
        <w:rPr>
          <w:rFonts w:ascii="仿宋_GB2312" w:eastAsia="仿宋_GB2312" w:hAnsi="仿宋" w:cs="仿宋"/>
          <w:sz w:val="30"/>
          <w:szCs w:val="30"/>
        </w:rPr>
        <w:t>”</w:t>
      </w:r>
      <w:r w:rsidRPr="00711BF6">
        <w:rPr>
          <w:rFonts w:ascii="仿宋_GB2312" w:eastAsia="仿宋_GB2312" w:hAnsi="仿宋" w:cs="仿宋"/>
          <w:sz w:val="30"/>
          <w:szCs w:val="30"/>
        </w:rPr>
        <w:t>、激发干事创业精气神的动力之源、推进新时代党的建设的重大契机，牢牢把握开展党史学习教育的核心要义和关键所在，从党的非凡历程中汲取奋进的智慧和力量，持续奋斗、顽强奋斗，不断创造无愧于党的诞生地的出色业绩。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lastRenderedPageBreak/>
        <w:t>结合召开2020年度组织生活会和开展民主评议党员，为集中开展党史学习教育夯实思想基础。</w:t>
      </w:r>
    </w:p>
    <w:p w:rsidR="00BC5D98" w:rsidRPr="00711BF6" w:rsidRDefault="002A08F0">
      <w:pPr>
        <w:spacing w:line="560" w:lineRule="exact"/>
        <w:ind w:firstLineChars="200" w:firstLine="602"/>
        <w:rPr>
          <w:rFonts w:ascii="Microsoft YaHei UI" w:eastAsia="Microsoft YaHei UI" w:hAnsi="Microsoft YaHei UI" w:cs="宋体"/>
          <w:color w:val="333333"/>
          <w:spacing w:val="11"/>
          <w:kern w:val="0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sz w:val="30"/>
          <w:szCs w:val="30"/>
        </w:rPr>
        <w:t>（三）以实际行动庆祝建党100周年</w:t>
      </w:r>
    </w:p>
    <w:p w:rsidR="00BC5D98" w:rsidRPr="00711BF6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各级党组织要立足实际，将组织开展建党100周年活动与持续推进质量提升工程等学校重点任务相结合，凝聚智慧和共识，擘画学校“十四五”开局。结合实际组织开展 “党旗在基层一线高高飘扬——以实际行动庆祝中国共产党成立100周年”系列活动。“七一”前，通过开展“百名书记讲党课”、“百名党员示范岗”等活动（活动方案另行通知），组织重温入党誓词、过集体“政治生日”、学习宣传先进模范典型、慰问关爱困难党员老党员等方式，开展主题鲜明、寓意深刻的主题党日活动，进一步教育引导党员从党的非凡历史中切身感受艰辛历程、巨大变化、辉煌成就，激励党员永葆蓬勃朝气，永做人民公仆、时代先锋、民族脊梁，投身推动各级党组织建设成为实现党的领导、落实立德树人根本任务的坚强战斗堡垒和学校改革发展事业中，以优异成绩向中国共产党成立100周年献礼。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50" w:firstLine="753"/>
        <w:rPr>
          <w:rFonts w:ascii="仿宋_GB2312" w:eastAsia="仿宋_GB2312" w:hAnsi="仿宋" w:cs="仿宋"/>
          <w:b/>
          <w:bCs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bCs/>
          <w:sz w:val="30"/>
          <w:szCs w:val="30"/>
        </w:rPr>
        <w:t>（四）深入学习贯彻《深化新时代教育评价改革总体方案》</w:t>
      </w:r>
    </w:p>
    <w:p w:rsidR="00BC5D98" w:rsidRPr="00711BF6" w:rsidRDefault="002A08F0">
      <w:pPr>
        <w:widowControl/>
        <w:shd w:val="clear" w:color="auto" w:fill="FFFFFF"/>
        <w:spacing w:line="560" w:lineRule="exact"/>
        <w:ind w:firstLineChars="250" w:firstLine="75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深入学习贯彻《深化新时代教育评价改革总体方案》《关于加快构建高校思想政治工作体系的意见》《关于加强新时代高校教师队伍建设改革的指导意见》等教育领域重要文件，把学习同总结经验、</w:t>
      </w:r>
      <w:proofErr w:type="gramStart"/>
      <w:r w:rsidRPr="00711BF6">
        <w:rPr>
          <w:rFonts w:ascii="仿宋_GB2312" w:eastAsia="仿宋_GB2312" w:hAnsi="仿宋" w:cs="仿宋" w:hint="eastAsia"/>
          <w:sz w:val="30"/>
          <w:szCs w:val="30"/>
        </w:rPr>
        <w:t>观照</w:t>
      </w:r>
      <w:proofErr w:type="gramEnd"/>
      <w:r w:rsidRPr="00711BF6">
        <w:rPr>
          <w:rFonts w:ascii="仿宋_GB2312" w:eastAsia="仿宋_GB2312" w:hAnsi="仿宋" w:cs="仿宋" w:hint="eastAsia"/>
          <w:sz w:val="30"/>
          <w:szCs w:val="30"/>
        </w:rPr>
        <w:t>现实、推动工作结合起来，同解决实际问题结合起来，把学习成效转化为推进师德师风建设、改进教风学风作风、履行“育人”“文明”“发展”三大核心使命的动力和成效，进一</w:t>
      </w:r>
      <w:r w:rsidRPr="00711BF6">
        <w:rPr>
          <w:rFonts w:ascii="仿宋_GB2312" w:eastAsia="仿宋_GB2312" w:hAnsi="仿宋" w:cs="仿宋" w:hint="eastAsia"/>
          <w:sz w:val="30"/>
          <w:szCs w:val="30"/>
        </w:rPr>
        <w:lastRenderedPageBreak/>
        <w:t>步将推动党建工作与中心工作深度融合内化为党员、干部在思想和行动上的深度自觉，防止学习和工作“两张皮”。</w:t>
      </w:r>
    </w:p>
    <w:p w:rsidR="00BC5D98" w:rsidRPr="00711BF6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 w:rsidRPr="00711BF6">
        <w:rPr>
          <w:rFonts w:ascii="仿宋_GB2312" w:eastAsia="仿宋_GB2312" w:hAnsi="仿宋" w:cs="仿宋" w:hint="eastAsia"/>
          <w:b/>
          <w:bCs/>
          <w:sz w:val="30"/>
          <w:szCs w:val="30"/>
        </w:rPr>
        <w:t>（五）深化党章党规等党内重要规章制度的学习教育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711BF6">
        <w:rPr>
          <w:rFonts w:ascii="仿宋_GB2312" w:eastAsia="仿宋_GB2312" w:hAnsi="仿宋" w:cs="仿宋" w:hint="eastAsia"/>
          <w:sz w:val="30"/>
          <w:szCs w:val="30"/>
        </w:rPr>
        <w:t>始终坚持将党章党规学习作为党员和党组织学习的重要内容，组织师生党员全面系统学、深入思考学、联系实际学，学习《中国共产党章程》《中国共产党普通高校基层组织工作条例》《中国共产党基层组织选举工作条例》等，进一步增强师生党员党纪意识、制度意识。围绕落实全面从严治党主体责任、持续推进巡察整改任务落实、补齐基层党组织领导基层治理短板弱项，</w:t>
      </w:r>
      <w:r w:rsidR="00A84B7D" w:rsidRPr="00711BF6">
        <w:rPr>
          <w:rFonts w:ascii="仿宋_GB2312" w:eastAsia="仿宋_GB2312" w:hAnsi="仿宋" w:cs="仿宋" w:hint="eastAsia"/>
          <w:sz w:val="30"/>
          <w:szCs w:val="30"/>
        </w:rPr>
        <w:t>加强对二级院系党组织会议、党政联席会议议事规则的学习。</w:t>
      </w:r>
      <w:r w:rsidRPr="00711BF6">
        <w:rPr>
          <w:rFonts w:ascii="仿宋_GB2312" w:eastAsia="仿宋_GB2312" w:hAnsi="仿宋" w:cs="仿宋" w:hint="eastAsia"/>
          <w:sz w:val="30"/>
          <w:szCs w:val="30"/>
        </w:rPr>
        <w:t>切实做好基层党组织的换届选举工作，科学合理设置教职工和学生</w:t>
      </w:r>
      <w:r>
        <w:rPr>
          <w:rFonts w:ascii="仿宋_GB2312" w:eastAsia="仿宋_GB2312" w:hAnsi="仿宋" w:cs="仿宋" w:hint="eastAsia"/>
          <w:sz w:val="30"/>
          <w:szCs w:val="30"/>
        </w:rPr>
        <w:t>党支部。贯彻落实《中国共产党发展党员工作细则》，规范发展党员程序，高质量完成党员发展工作，切实加强党员队伍建设。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t>（六）持之以恒正风</w:t>
      </w:r>
      <w:proofErr w:type="gramStart"/>
      <w:r>
        <w:rPr>
          <w:rFonts w:ascii="仿宋_GB2312" w:eastAsia="仿宋_GB2312" w:hAnsi="仿宋" w:cs="仿宋" w:hint="eastAsia"/>
          <w:b/>
          <w:bCs/>
          <w:sz w:val="30"/>
          <w:szCs w:val="30"/>
        </w:rPr>
        <w:t>肃</w:t>
      </w:r>
      <w:proofErr w:type="gramEnd"/>
      <w:r>
        <w:rPr>
          <w:rFonts w:ascii="仿宋_GB2312" w:eastAsia="仿宋_GB2312" w:hAnsi="仿宋" w:cs="仿宋" w:hint="eastAsia"/>
          <w:b/>
          <w:bCs/>
          <w:sz w:val="30"/>
          <w:szCs w:val="30"/>
        </w:rPr>
        <w:t>纪，加强作风建设和纪律建设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把党风廉政教育作为党员干部日常教育的基础性、经常性工作来抓，通过组织专题学习、开展剖析评议等形式，深入学习贯彻《中国共产党纪律处分条例》、《党委（党组）落实全面从严治党主体责任规定》等，将党风廉政建设与学校《巡察工作实施办法（暂行）》等结合起来，压紧压实党组织管党治党政治责任和书记第一责任人责任，纵深推进全面从严治党。着力早发现早处置，做深做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细谈话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>提醒、函询诫勉等工作，从“早”抓起，从“小”严起，将“从严”与“全面”相结合，严格执行党员权利保障条例，激发党员干部干事创业内生动力，以优良的党风带教风促学风，营造风清气正的育人环境。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lastRenderedPageBreak/>
        <w:t>（七）</w:t>
      </w:r>
      <w:r>
        <w:rPr>
          <w:rFonts w:ascii="仿宋_GB2312" w:eastAsia="仿宋_GB2312" w:hAnsi="仿宋" w:cs="仿宋" w:hint="eastAsia"/>
          <w:b/>
          <w:sz w:val="30"/>
          <w:szCs w:val="30"/>
        </w:rPr>
        <w:t>迎接学校首次党代会的召开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组织学习《中国共产党基层组织选举工作条例》《中国共产党地方组织选举工作条例》《关于严肃换届纪律加强换届风气监督的通知》要求，严格落实基层党组织选举程序和办法，积极参与相关工作，通过对党代会精神的学习宣传贯彻，团结群众、振奋精神，进一步推进学校各方面事业改革发展。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t>三、组织实施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t>（一）强化政治引领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严格党的组织生活，充分利用“三会一课”加强师生党员思想教育。开展组织生活，要紧密联系师生党员的思想工作实际，要有利于提高师生党员思想认识，有利于学校教学、科研、管理及服务工作的完成。要按照加强党的政治建设的要求，创新组织生活的形式和载体，提高组织生活的针对性和实效性，增强组织生活的吸引力和感召力。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t>（二）加强组织领导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bCs/>
          <w:sz w:val="30"/>
          <w:szCs w:val="30"/>
        </w:rPr>
      </w:pPr>
      <w:r>
        <w:rPr>
          <w:rFonts w:ascii="仿宋_GB2312" w:eastAsia="仿宋_GB2312" w:hAnsi="仿宋" w:cs="仿宋" w:hint="eastAsia"/>
          <w:bCs/>
          <w:sz w:val="30"/>
          <w:szCs w:val="30"/>
        </w:rPr>
        <w:t>各二级党组织要切实加强党支部组织生活的组织领导，根据学校党委统一安排和疫情常态化防控形势，结合本单位实际，督促支部制定组织生活计划和学习方案、列出学习内容、明确学习要求。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基层党支部</w:t>
      </w:r>
      <w:r>
        <w:rPr>
          <w:rFonts w:ascii="仿宋_GB2312" w:eastAsia="仿宋_GB2312" w:hAnsi="仿宋" w:cs="仿宋" w:hint="eastAsia"/>
          <w:b/>
          <w:bCs/>
          <w:sz w:val="30"/>
          <w:szCs w:val="30"/>
        </w:rPr>
        <w:t>每月25日前</w:t>
      </w:r>
      <w:r>
        <w:rPr>
          <w:rFonts w:ascii="仿宋_GB2312" w:eastAsia="仿宋_GB2312" w:hAnsi="仿宋" w:cs="仿宋" w:hint="eastAsia"/>
          <w:sz w:val="30"/>
          <w:szCs w:val="30"/>
        </w:rPr>
        <w:t>应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将次月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>的《党支部主题党日和组织生活一览表》（附件2）报二级党组织备案审核，3月的组织生活安排应及时报备。党委组织部将采取适当方式对组织生活开展情况进行抽查，并适时向基层党组织反馈。组织生活落实情况将作为党组织</w:t>
      </w:r>
      <w:proofErr w:type="gramStart"/>
      <w:r>
        <w:rPr>
          <w:rFonts w:ascii="仿宋_GB2312" w:eastAsia="仿宋_GB2312" w:hAnsi="仿宋" w:cs="仿宋" w:hint="eastAsia"/>
          <w:sz w:val="30"/>
          <w:szCs w:val="30"/>
        </w:rPr>
        <w:t>书记党建述职</w:t>
      </w:r>
      <w:proofErr w:type="gramEnd"/>
      <w:r>
        <w:rPr>
          <w:rFonts w:ascii="仿宋_GB2312" w:eastAsia="仿宋_GB2312" w:hAnsi="仿宋" w:cs="仿宋" w:hint="eastAsia"/>
          <w:sz w:val="30"/>
          <w:szCs w:val="30"/>
        </w:rPr>
        <w:t>评议考核的重要内容。</w:t>
      </w:r>
    </w:p>
    <w:p w:rsidR="00BC5D98" w:rsidRDefault="002A08F0">
      <w:pPr>
        <w:spacing w:line="560" w:lineRule="exact"/>
        <w:ind w:firstLineChars="200" w:firstLine="602"/>
        <w:rPr>
          <w:rFonts w:ascii="仿宋_GB2312" w:eastAsia="仿宋_GB2312" w:hAnsi="仿宋" w:cs="仿宋"/>
          <w:b/>
          <w:bCs/>
          <w:sz w:val="30"/>
          <w:szCs w:val="30"/>
        </w:rPr>
      </w:pPr>
      <w:r>
        <w:rPr>
          <w:rFonts w:ascii="仿宋_GB2312" w:eastAsia="仿宋_GB2312" w:hAnsi="仿宋" w:cs="仿宋" w:hint="eastAsia"/>
          <w:b/>
          <w:bCs/>
          <w:sz w:val="30"/>
          <w:szCs w:val="30"/>
        </w:rPr>
        <w:lastRenderedPageBreak/>
        <w:t>（三）实施观摩交流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为推进“两学一做”学习教育常态化制度化，提高组织生活的吸引力和感染力，促进基层党组织之间的经验交流，按照“全覆盖、固定化、求实效”的目标要求，建立二级学院主题党日和组织生活观摩交流常态化机制。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1.二级学院（有学生学院）党组织在组织本单位基层党支部开展主题党日活动的基础上，另外本学期需推荐1-3项主题党日或组织生活参加校级现场观摩交流，推荐数量不少于本二级党组织党支部总数的20%，不足1项的按1项计算。请于3月30日前报送《推荐校级观摩主题党日和组织生活一览表》（附件3）及《主题党日和组织生活设计方案表》（附件4）到组织部备案。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2.组织部对推荐活动进行汇总，形成《校级观摩主题党日和组织生活一览表》（附件5），并及时公布。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3.参与校级观摩的人员由党委组织部组织或二级党组织自发组织，由组织部或二级党组织组织员与被观摩单位组织员预约观摩席，并将《2020-2021学年第二学期主题党日和组织生活观摩交流意见反馈表》（附件6）交至被观摩二级党组织存留。</w:t>
      </w:r>
    </w:p>
    <w:p w:rsidR="00BC5D98" w:rsidRDefault="002A08F0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4.校级观摩交流结束后，提供观摩的二级党组织要汇总掌握被观摩活动的意见反馈情况，并及时报送《校级观摩主题党日和组织生活情况反馈汇总表》（附件7）到组织部备案。</w:t>
      </w:r>
    </w:p>
    <w:p w:rsidR="00BC5D98" w:rsidRDefault="00BC5D98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</w:p>
    <w:p w:rsidR="00BC5D98" w:rsidRDefault="002A08F0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联系人：陈 艳</w:t>
      </w:r>
      <w:r>
        <w:rPr>
          <w:rFonts w:ascii="宋体" w:eastAsia="宋体" w:hAnsi="宋体" w:cs="宋体" w:hint="eastAsia"/>
          <w:sz w:val="30"/>
          <w:szCs w:val="30"/>
        </w:rPr>
        <w:t>      </w:t>
      </w:r>
      <w:r>
        <w:rPr>
          <w:rFonts w:ascii="仿宋_GB2312" w:eastAsia="仿宋_GB2312" w:hAnsi="仿宋" w:cs="仿宋" w:hint="eastAsia"/>
          <w:sz w:val="30"/>
          <w:szCs w:val="30"/>
        </w:rPr>
        <w:t>联系电话：18021097069</w:t>
      </w:r>
    </w:p>
    <w:p w:rsidR="00BC5D98" w:rsidRDefault="002A08F0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邮箱：chenyan@lixin.edu.cn</w:t>
      </w:r>
    </w:p>
    <w:p w:rsidR="00BC5D98" w:rsidRDefault="002A08F0">
      <w:pPr>
        <w:spacing w:line="560" w:lineRule="exac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附件：1.组织生活频次工作提示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lastRenderedPageBreak/>
        <w:t>2.党支部主题党日和组织生活一览表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3.推荐校级观摩主题党日和组织生活一览表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4.主题党日和组织生活设计方案表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5.校级观摩主题党日和组织生活一览表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6.主题党日和组织生活观摩交流意见反馈表</w:t>
      </w:r>
    </w:p>
    <w:p w:rsidR="00BC5D98" w:rsidRDefault="002A08F0">
      <w:pPr>
        <w:spacing w:line="560" w:lineRule="exact"/>
        <w:ind w:firstLineChars="300" w:firstLine="900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7.校级观摩主题党日和组织生活情况反馈汇总表</w:t>
      </w:r>
    </w:p>
    <w:p w:rsidR="00BC5D98" w:rsidRDefault="00BC5D98">
      <w:pPr>
        <w:spacing w:line="560" w:lineRule="exact"/>
        <w:ind w:firstLineChars="200" w:firstLine="600"/>
        <w:rPr>
          <w:rFonts w:ascii="仿宋_GB2312" w:eastAsia="仿宋_GB2312" w:hAnsi="仿宋" w:cs="仿宋"/>
          <w:sz w:val="30"/>
          <w:szCs w:val="30"/>
        </w:rPr>
      </w:pPr>
    </w:p>
    <w:p w:rsidR="00BC5D98" w:rsidRDefault="00BC5D98">
      <w:pPr>
        <w:spacing w:line="560" w:lineRule="exact"/>
        <w:ind w:firstLineChars="200" w:firstLine="600"/>
        <w:jc w:val="right"/>
        <w:rPr>
          <w:rFonts w:ascii="仿宋_GB2312" w:eastAsia="仿宋_GB2312" w:hAnsi="仿宋" w:cs="仿宋"/>
          <w:sz w:val="30"/>
          <w:szCs w:val="30"/>
        </w:rPr>
      </w:pPr>
    </w:p>
    <w:p w:rsidR="00BC5D98" w:rsidRDefault="002A08F0">
      <w:pPr>
        <w:spacing w:line="560" w:lineRule="exact"/>
        <w:ind w:firstLineChars="200" w:firstLine="600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 xml:space="preserve">党委组织部         </w:t>
      </w:r>
    </w:p>
    <w:p w:rsidR="00BC5D98" w:rsidRPr="004E72CE" w:rsidRDefault="002A08F0">
      <w:pPr>
        <w:spacing w:line="560" w:lineRule="exact"/>
        <w:jc w:val="right"/>
        <w:rPr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 xml:space="preserve">         </w:t>
      </w:r>
      <w:r w:rsidRPr="004E72CE">
        <w:rPr>
          <w:rFonts w:ascii="仿宋_GB2312" w:eastAsia="仿宋_GB2312" w:hAnsi="仿宋" w:cs="仿宋" w:hint="eastAsia"/>
          <w:sz w:val="30"/>
          <w:szCs w:val="30"/>
        </w:rPr>
        <w:t xml:space="preserve">    2021年3月</w:t>
      </w:r>
      <w:r w:rsidR="003A5622" w:rsidRPr="004E72CE">
        <w:rPr>
          <w:rFonts w:ascii="仿宋_GB2312" w:eastAsia="仿宋_GB2312" w:hAnsi="仿宋" w:cs="仿宋" w:hint="eastAsia"/>
          <w:sz w:val="30"/>
          <w:szCs w:val="30"/>
        </w:rPr>
        <w:t>8</w:t>
      </w:r>
      <w:r w:rsidRPr="004E72CE">
        <w:rPr>
          <w:rFonts w:ascii="仿宋_GB2312" w:eastAsia="仿宋_GB2312" w:hAnsi="仿宋" w:cs="仿宋" w:hint="eastAsia"/>
          <w:sz w:val="30"/>
          <w:szCs w:val="30"/>
        </w:rPr>
        <w:t>日</w:t>
      </w:r>
    </w:p>
    <w:sectPr w:rsidR="00BC5D98" w:rsidRPr="004E7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C0" w:rsidRDefault="000A06C0" w:rsidP="00D8534A">
      <w:r>
        <w:separator/>
      </w:r>
    </w:p>
  </w:endnote>
  <w:endnote w:type="continuationSeparator" w:id="0">
    <w:p w:rsidR="000A06C0" w:rsidRDefault="000A06C0" w:rsidP="00D8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XiaoBiaoSong-B05S">
    <w:altName w:val="Arial"/>
    <w:charset w:val="00"/>
    <w:family w:val="swiss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altName w:val="微软雅黑"/>
    <w:charset w:val="86"/>
    <w:family w:val="swiss"/>
    <w:pitch w:val="default"/>
    <w:sig w:usb0="00000000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C0" w:rsidRDefault="000A06C0" w:rsidP="00D8534A">
      <w:r>
        <w:separator/>
      </w:r>
    </w:p>
  </w:footnote>
  <w:footnote w:type="continuationSeparator" w:id="0">
    <w:p w:rsidR="000A06C0" w:rsidRDefault="000A06C0" w:rsidP="00D85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48"/>
    <w:rsid w:val="00003EEA"/>
    <w:rsid w:val="00031FD8"/>
    <w:rsid w:val="00064515"/>
    <w:rsid w:val="0007276C"/>
    <w:rsid w:val="00074126"/>
    <w:rsid w:val="00074297"/>
    <w:rsid w:val="000A06C0"/>
    <w:rsid w:val="000A4EF4"/>
    <w:rsid w:val="001003FD"/>
    <w:rsid w:val="0011092A"/>
    <w:rsid w:val="00165E24"/>
    <w:rsid w:val="001A2205"/>
    <w:rsid w:val="001B0D58"/>
    <w:rsid w:val="001B1779"/>
    <w:rsid w:val="001C3647"/>
    <w:rsid w:val="001E0319"/>
    <w:rsid w:val="001E4707"/>
    <w:rsid w:val="002374A5"/>
    <w:rsid w:val="00271790"/>
    <w:rsid w:val="002A08F0"/>
    <w:rsid w:val="002A512C"/>
    <w:rsid w:val="002C63B4"/>
    <w:rsid w:val="002F4252"/>
    <w:rsid w:val="00305403"/>
    <w:rsid w:val="003107D4"/>
    <w:rsid w:val="00342765"/>
    <w:rsid w:val="003510FD"/>
    <w:rsid w:val="0036460D"/>
    <w:rsid w:val="003650F1"/>
    <w:rsid w:val="00372F81"/>
    <w:rsid w:val="003A42D8"/>
    <w:rsid w:val="003A5228"/>
    <w:rsid w:val="003A5622"/>
    <w:rsid w:val="003A71DD"/>
    <w:rsid w:val="003C0B73"/>
    <w:rsid w:val="003D30F0"/>
    <w:rsid w:val="0040410F"/>
    <w:rsid w:val="004069F7"/>
    <w:rsid w:val="00441806"/>
    <w:rsid w:val="0045742E"/>
    <w:rsid w:val="00472A12"/>
    <w:rsid w:val="0047411C"/>
    <w:rsid w:val="00475446"/>
    <w:rsid w:val="004904BC"/>
    <w:rsid w:val="004A7C10"/>
    <w:rsid w:val="004D2316"/>
    <w:rsid w:val="004E72CE"/>
    <w:rsid w:val="004F388D"/>
    <w:rsid w:val="004F65F4"/>
    <w:rsid w:val="00515042"/>
    <w:rsid w:val="005257AA"/>
    <w:rsid w:val="00531294"/>
    <w:rsid w:val="005323E1"/>
    <w:rsid w:val="00533875"/>
    <w:rsid w:val="005572E5"/>
    <w:rsid w:val="005705A6"/>
    <w:rsid w:val="00580176"/>
    <w:rsid w:val="005A16A6"/>
    <w:rsid w:val="005A59AA"/>
    <w:rsid w:val="00617AC0"/>
    <w:rsid w:val="006331E1"/>
    <w:rsid w:val="006378CB"/>
    <w:rsid w:val="00646FCC"/>
    <w:rsid w:val="00655F6D"/>
    <w:rsid w:val="00662096"/>
    <w:rsid w:val="006C3410"/>
    <w:rsid w:val="00711BF6"/>
    <w:rsid w:val="00717234"/>
    <w:rsid w:val="00745BD8"/>
    <w:rsid w:val="00747F14"/>
    <w:rsid w:val="00763C23"/>
    <w:rsid w:val="007679BF"/>
    <w:rsid w:val="00776D9F"/>
    <w:rsid w:val="007C1F6D"/>
    <w:rsid w:val="007E5577"/>
    <w:rsid w:val="008152FB"/>
    <w:rsid w:val="0081721C"/>
    <w:rsid w:val="008417D4"/>
    <w:rsid w:val="00842E1A"/>
    <w:rsid w:val="00861E93"/>
    <w:rsid w:val="00884D7A"/>
    <w:rsid w:val="008A3539"/>
    <w:rsid w:val="008E4416"/>
    <w:rsid w:val="0091635D"/>
    <w:rsid w:val="0091730C"/>
    <w:rsid w:val="00942A80"/>
    <w:rsid w:val="00954C48"/>
    <w:rsid w:val="009D17A2"/>
    <w:rsid w:val="009F4F87"/>
    <w:rsid w:val="00A1307F"/>
    <w:rsid w:val="00A20CE6"/>
    <w:rsid w:val="00A3689F"/>
    <w:rsid w:val="00A44A5F"/>
    <w:rsid w:val="00A46716"/>
    <w:rsid w:val="00A471F1"/>
    <w:rsid w:val="00A84B7D"/>
    <w:rsid w:val="00AA1402"/>
    <w:rsid w:val="00AB7D96"/>
    <w:rsid w:val="00AC3FAB"/>
    <w:rsid w:val="00B309B0"/>
    <w:rsid w:val="00B42308"/>
    <w:rsid w:val="00B65F99"/>
    <w:rsid w:val="00B757F7"/>
    <w:rsid w:val="00BA1E26"/>
    <w:rsid w:val="00BC5D98"/>
    <w:rsid w:val="00BD7FAD"/>
    <w:rsid w:val="00BF01C6"/>
    <w:rsid w:val="00C576F7"/>
    <w:rsid w:val="00C8337B"/>
    <w:rsid w:val="00CB2BEE"/>
    <w:rsid w:val="00CC3512"/>
    <w:rsid w:val="00CD2FB3"/>
    <w:rsid w:val="00D03FC5"/>
    <w:rsid w:val="00D11810"/>
    <w:rsid w:val="00D413BD"/>
    <w:rsid w:val="00D64A94"/>
    <w:rsid w:val="00D64AD1"/>
    <w:rsid w:val="00D8534A"/>
    <w:rsid w:val="00DA6ACD"/>
    <w:rsid w:val="00DB045A"/>
    <w:rsid w:val="00DB6630"/>
    <w:rsid w:val="00DB7C4B"/>
    <w:rsid w:val="00DC1DB4"/>
    <w:rsid w:val="00DD5A76"/>
    <w:rsid w:val="00DE3FE6"/>
    <w:rsid w:val="00DE7758"/>
    <w:rsid w:val="00E06853"/>
    <w:rsid w:val="00E37539"/>
    <w:rsid w:val="00E449F5"/>
    <w:rsid w:val="00E750BB"/>
    <w:rsid w:val="00E85288"/>
    <w:rsid w:val="00E91B07"/>
    <w:rsid w:val="00E9218D"/>
    <w:rsid w:val="00E9543F"/>
    <w:rsid w:val="00EB5E77"/>
    <w:rsid w:val="00ED4130"/>
    <w:rsid w:val="00ED4F2B"/>
    <w:rsid w:val="00F1583D"/>
    <w:rsid w:val="00F504EA"/>
    <w:rsid w:val="00F57DDA"/>
    <w:rsid w:val="00FC19E6"/>
    <w:rsid w:val="00FF1C6B"/>
    <w:rsid w:val="32275DBA"/>
    <w:rsid w:val="4B0C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FZXiaoBiaoSong-B05S" w:hAnsi="FZXiaoBiaoSong-B05S" w:cs="FZXiaoBiaoSong-B05S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85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3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34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FZXiaoBiaoSong-B05S" w:hAnsi="FZXiaoBiaoSong-B05S" w:cs="FZXiaoBiaoSong-B05S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85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34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3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7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2021-03-04T02:20:00Z</dcterms:created>
  <dcterms:modified xsi:type="dcterms:W3CDTF">2021-03-08T02:25:00Z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